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УТВЕРЖДАЮ</w:t>
      </w:r>
      <w:r>
        <w:br/>
      </w:r>
      <w:r>
        <w:t>[Наименование организации]</w:t>
      </w:r>
      <w:r>
        <w:br/>
      </w:r>
      <w:r>
        <w:t>_______________ / _______________ /</w:t>
      </w:r>
      <w:r>
        <w:br/>
      </w:r>
      <w:r>
        <w:t>«____» _______ 20___ г.</w:t>
      </w:r>
    </w:p>
    <w:p/>
    <w:p>
      <w:pPr>
        <w:jc w:val="center"/>
      </w:pPr>
      <w:r>
        <w:rPr>
          <w:b/>
          <w:sz w:val="28"/>
        </w:rPr>
        <w:t>ПОЛОЖЕНИЕ ОБ ОПЛАТЕ ТРУДА И ПРЕМИРОВАНИИ</w:t>
      </w:r>
    </w:p>
    <w:p/>
    <w:p>
      <w:r>
        <w:rPr>
          <w:b/>
        </w:rPr>
        <w:t>1. Общие положения</w:t>
      </w:r>
    </w:p>
    <w:p>
      <w:pPr>
        <w:jc w:val="both"/>
      </w:pPr>
      <w:r>
        <w:t>1.1. Настоящее Положение определяет систему оплаты труда и порядок премирования работников [Наименование организации] в соответствии с Трудовым кодексом РФ. 1.2. Положение распространяется на всех работников, если иное не установлено трудовым договором.</w:t>
      </w:r>
    </w:p>
    <w:p>
      <w:r>
        <w:rPr>
          <w:b/>
        </w:rPr>
        <w:t>2. Система оплаты труда</w:t>
      </w:r>
    </w:p>
    <w:p>
      <w:pPr>
        <w:jc w:val="both"/>
      </w:pPr>
      <w:r>
        <w:t>2.1. Заработная плата состоит из постоянной части (оклад/тарифная ставка) и переменной (премии, надбавки). 2.2. Оклады устанавливаются штатным расписанием. 2.3. Зарплата выплачивается в сроки, установленные у работодателя, не реже чем каждые полмесяца.</w:t>
      </w:r>
    </w:p>
    <w:p>
      <w:r>
        <w:rPr>
          <w:b/>
        </w:rPr>
        <w:t>3. Премирование</w:t>
      </w:r>
    </w:p>
    <w:p>
      <w:pPr>
        <w:jc w:val="both"/>
      </w:pPr>
      <w:r>
        <w:t>3.1. Премия — переменная часть, начисляемая при выполнении заранее известных показателей. Показатели, условия и размеры: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Показатель</w:t>
            </w:r>
          </w:p>
        </w:tc>
        <w:tc>
          <w:tcPr>
            <w:tcW w:type="dxa" w:w="2880"/>
          </w:tcPr>
          <w:p>
            <w:r>
              <w:rPr>
                <w:b/>
              </w:rPr>
              <w:t>Условие премирования</w:t>
            </w:r>
          </w:p>
        </w:tc>
        <w:tc>
          <w:tcPr>
            <w:tcW w:type="dxa" w:w="2880"/>
          </w:tcPr>
          <w:p>
            <w:r>
              <w:rPr>
                <w:b/>
              </w:rPr>
              <w:t>Размер / вес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</w:tbl>
    <w:p>
      <w:r>
        <w:rPr>
          <w:b/>
        </w:rPr>
        <w:t>4. Порядок начисления и выплаты</w:t>
      </w:r>
    </w:p>
    <w:p>
      <w:pPr>
        <w:jc w:val="both"/>
      </w:pPr>
      <w:r>
        <w:t>4.1. Премия начисляется по итогам периода на основании данных о выполнении показателей. 4.2. Решение о премировании оформляется в установленном порядке.</w:t>
      </w:r>
    </w:p>
    <w:p>
      <w:r>
        <w:rPr>
          <w:b/>
        </w:rPr>
        <w:t>5. Основания снижения размера премии</w:t>
      </w:r>
    </w:p>
    <w:p>
      <w:pPr>
        <w:jc w:val="both"/>
      </w:pPr>
      <w:r>
        <w:t>5.1. Премия может не начисляться или начисляться в меньшем размере при невыполнении заранее установленных показателей. Основания снижения должны быть объективными и известными работнику заранее.</w:t>
      </w:r>
    </w:p>
    <w:p>
      <w:r>
        <w:rPr>
          <w:i/>
          <w:sz w:val="18"/>
        </w:rPr>
        <w:t>Важно: снижение премии — это ненаступление условия для дополнительной выплаты по прозрачным правилам, а не денежный штраф. Штрафы как мера дисциплины трудовым законодательством не предусмотрены.</w:t>
      </w:r>
    </w:p>
    <w:p>
      <w:r>
        <w:rPr>
          <w:b/>
        </w:rPr>
        <w:t>6. Заключительные положения</w:t>
      </w:r>
    </w:p>
    <w:p>
      <w:pPr>
        <w:jc w:val="both"/>
      </w:pPr>
      <w:r>
        <w:t>6.1. Положение вступает в силу с даты утверждения. Работники знакомятся с ним под подпись.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